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C23A47-EE7A-48CC-AD93-C7CB636A9EC0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